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rtl w:val="0"/>
        </w:rPr>
        <w:t xml:space="preserve">CONTE HISTÓRIAS</w:t>
      </w:r>
    </w:p>
    <w:p w:rsidR="00000000" w:rsidDel="00000000" w:rsidP="00000000" w:rsidRDefault="00000000" w:rsidRPr="00000000" w14:paraId="00000002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rPr>
          <w:rFonts w:ascii="Nunito" w:cs="Nunito" w:eastAsia="Nunito" w:hAnsi="Nunito"/>
          <w:b w:val="1"/>
          <w:sz w:val="20"/>
          <w:szCs w:val="20"/>
        </w:rPr>
      </w:pPr>
      <w:r w:rsidDel="00000000" w:rsidR="00000000" w:rsidRPr="00000000">
        <w:rPr>
          <w:rFonts w:ascii="Nunito" w:cs="Nunito" w:eastAsia="Nunito" w:hAnsi="Nunito"/>
          <w:sz w:val="20"/>
          <w:szCs w:val="20"/>
          <w:rtl w:val="0"/>
        </w:rPr>
        <w:t xml:space="preserve">Tem três coisas maravilhosas que a gente pode fazer com nossos filhos. A gente pode cantar, brincar e, meu preferido: contar história.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JA6dm4Ndk5iwHVHG8PBSnl6hAw==">CgMxLjA4AHIhMWc0NXlUVU1KNUxXa2ZoaEtyekRUemtCUWNldThBcVhO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